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left"/>
        <w:rPr>
          <w:rFonts w:hint="eastAsia" w:ascii="仿宋_GB2312" w:hAnsi="Tahoma" w:eastAsia="仿宋_GB2312" w:cs="Tahoma"/>
          <w:color w:val="333333"/>
          <w:kern w:val="0"/>
          <w:sz w:val="32"/>
          <w:szCs w:val="32"/>
        </w:rPr>
      </w:pPr>
    </w:p>
    <w:p>
      <w:pPr>
        <w:spacing w:line="480" w:lineRule="exact"/>
        <w:jc w:val="left"/>
        <w:rPr>
          <w:rFonts w:ascii="仿宋_GB2312" w:hAnsi="宋体" w:eastAsia="仿宋_GB2312" w:cs="宋体"/>
          <w:b w:val="0"/>
          <w:bCs/>
          <w:kern w:val="0"/>
          <w:sz w:val="36"/>
          <w:szCs w:val="36"/>
        </w:rPr>
      </w:pPr>
      <w:r>
        <w:rPr>
          <w:rFonts w:hint="eastAsia" w:ascii="仿宋_GB2312" w:hAnsi="宋体" w:eastAsia="仿宋_GB2312" w:cs="宋体"/>
          <w:b w:val="0"/>
          <w:bCs/>
          <w:kern w:val="0"/>
          <w:sz w:val="36"/>
          <w:szCs w:val="36"/>
        </w:rPr>
        <w:t>附件</w:t>
      </w:r>
      <w:r>
        <w:rPr>
          <w:rFonts w:ascii="仿宋_GB2312" w:hAnsi="宋体" w:eastAsia="仿宋_GB2312" w:cs="宋体"/>
          <w:b w:val="0"/>
          <w:bCs/>
          <w:kern w:val="0"/>
          <w:sz w:val="36"/>
          <w:szCs w:val="36"/>
        </w:rPr>
        <w:t xml:space="preserve">1  </w:t>
      </w:r>
    </w:p>
    <w:p>
      <w:pPr>
        <w:spacing w:line="480" w:lineRule="exact"/>
        <w:jc w:val="left"/>
        <w:rPr>
          <w:rFonts w:ascii="仿宋_GB2312" w:hAnsi="宋体" w:eastAsia="仿宋_GB2312" w:cs="宋体"/>
          <w:b/>
          <w:kern w:val="0"/>
          <w:sz w:val="36"/>
          <w:szCs w:val="36"/>
        </w:rPr>
      </w:pPr>
    </w:p>
    <w:p>
      <w:pPr>
        <w:spacing w:line="480" w:lineRule="exact"/>
        <w:jc w:val="center"/>
        <w:rPr>
          <w:rFonts w:ascii="仿宋_GB2312" w:hAnsi="宋体" w:eastAsia="仿宋_GB2312" w:cs="宋体"/>
          <w:b/>
          <w:kern w:val="0"/>
          <w:sz w:val="36"/>
          <w:szCs w:val="36"/>
        </w:rPr>
      </w:pPr>
      <w:r>
        <w:rPr>
          <w:rFonts w:hint="eastAsia" w:ascii="仿宋_GB2312" w:hAnsi="宋体" w:eastAsia="仿宋_GB2312" w:cs="宋体"/>
          <w:b/>
          <w:kern w:val="0"/>
          <w:sz w:val="36"/>
          <w:szCs w:val="36"/>
        </w:rPr>
        <w:t>《2022年</w:t>
      </w:r>
      <w:r>
        <w:rPr>
          <w:rFonts w:hint="eastAsia" w:ascii="仿宋_GB2312" w:hAnsi="宋体" w:eastAsia="仿宋_GB2312" w:cs="宋体"/>
          <w:b/>
          <w:kern w:val="0"/>
          <w:sz w:val="36"/>
          <w:szCs w:val="36"/>
          <w:lang w:val="en-US" w:eastAsia="zh-CN"/>
        </w:rPr>
        <w:t>度</w:t>
      </w:r>
      <w:bookmarkStart w:id="0" w:name="_GoBack"/>
      <w:bookmarkEnd w:id="0"/>
      <w:r>
        <w:rPr>
          <w:rFonts w:hint="eastAsia" w:ascii="仿宋_GB2312" w:hAnsi="宋体" w:eastAsia="仿宋_GB2312" w:cs="宋体"/>
          <w:b/>
          <w:kern w:val="0"/>
          <w:sz w:val="36"/>
          <w:szCs w:val="36"/>
        </w:rPr>
        <w:t>教育教学改革研究一般项目指南》</w:t>
      </w:r>
    </w:p>
    <w:p>
      <w:pPr>
        <w:widowControl/>
        <w:shd w:val="clear" w:color="auto" w:fill="FFFFFF"/>
        <w:spacing w:line="360" w:lineRule="auto"/>
        <w:jc w:val="left"/>
        <w:rPr>
          <w:rFonts w:ascii="黑体" w:hAnsi="黑体" w:eastAsia="黑体" w:cs="Tahoma"/>
          <w:b/>
          <w:bCs/>
          <w:color w:val="333333"/>
          <w:kern w:val="0"/>
          <w:sz w:val="32"/>
          <w:szCs w:val="32"/>
        </w:rPr>
      </w:pPr>
    </w:p>
    <w:p>
      <w:pPr>
        <w:adjustRightInd w:val="0"/>
        <w:snapToGrid w:val="0"/>
        <w:spacing w:line="360" w:lineRule="auto"/>
        <w:ind w:firstLine="562" w:firstLineChars="200"/>
        <w:rPr>
          <w:rFonts w:ascii="仿宋" w:hAnsi="仿宋" w:eastAsia="仿宋"/>
          <w:b/>
          <w:sz w:val="28"/>
          <w:szCs w:val="28"/>
        </w:rPr>
      </w:pPr>
      <w:r>
        <w:rPr>
          <w:rFonts w:hint="eastAsia" w:ascii="仿宋" w:hAnsi="仿宋" w:eastAsia="仿宋"/>
          <w:b/>
          <w:sz w:val="28"/>
          <w:szCs w:val="28"/>
        </w:rPr>
        <w:t>一、高等教育发展战略研究及综合研究</w:t>
      </w:r>
    </w:p>
    <w:p>
      <w:pPr>
        <w:adjustRightInd w:val="0"/>
        <w:snapToGrid w:val="0"/>
        <w:spacing w:line="360" w:lineRule="auto"/>
        <w:ind w:firstLine="560" w:firstLineChars="200"/>
        <w:rPr>
          <w:rFonts w:ascii="仿宋_GB2312" w:hAnsi="Tahoma" w:eastAsia="仿宋_GB2312" w:cs="Tahoma"/>
          <w:color w:val="333333"/>
          <w:kern w:val="0"/>
          <w:sz w:val="28"/>
          <w:szCs w:val="28"/>
        </w:rPr>
      </w:pPr>
      <w:r>
        <w:rPr>
          <w:rFonts w:hint="eastAsia" w:ascii="仿宋_GB2312" w:hAnsi="Tahoma" w:eastAsia="仿宋_GB2312" w:cs="Tahoma"/>
          <w:color w:val="333333"/>
          <w:kern w:val="0"/>
          <w:sz w:val="28"/>
          <w:szCs w:val="28"/>
        </w:rPr>
        <w:t>结合高等教育发展趋势和我省实际，开展湖北高等教育发展战略研究和湖北高等教育竞争力研究；适应湖北省区域经济建设和社会发展需要的高等学校办学思想、办学体制、办学模式、人才培养模式的研究；湖北省高等教育规模、结构、质量、效益协调发展和可持续发展机制的研究与实践；湖北省高等教育内涵发展的路径研究；湖北省高等学校分类指导研究；高等学校办学定位与办学特色研究；高等学校创新产学研合作机制研究；高等学校科教融合机制研究；高等学校多学科交叉融合机制研究；产业学院发展探索与研究；高等教育优化学科专业结构、服务湖北地方经济发展研究；现代大学制度研究与探索及高校治理体系和治理能力现代化研究等；高校落实教学中心地位、提高人才培养能力，加快形成高水平人才培养体系的综合研究等。</w:t>
      </w:r>
    </w:p>
    <w:p>
      <w:pPr>
        <w:adjustRightInd w:val="0"/>
        <w:snapToGrid w:val="0"/>
        <w:spacing w:line="360" w:lineRule="auto"/>
        <w:ind w:firstLine="562" w:firstLineChars="200"/>
        <w:rPr>
          <w:rFonts w:ascii="仿宋" w:hAnsi="仿宋" w:eastAsia="仿宋"/>
          <w:b/>
          <w:sz w:val="28"/>
          <w:szCs w:val="28"/>
        </w:rPr>
      </w:pPr>
      <w:r>
        <w:rPr>
          <w:rFonts w:hint="eastAsia" w:ascii="仿宋" w:hAnsi="仿宋" w:eastAsia="仿宋"/>
          <w:b/>
          <w:sz w:val="28"/>
          <w:szCs w:val="28"/>
        </w:rPr>
        <w:t>二、课程思政建设研究与实践</w:t>
      </w:r>
    </w:p>
    <w:p>
      <w:pPr>
        <w:adjustRightInd w:val="0"/>
        <w:snapToGrid w:val="0"/>
        <w:spacing w:line="360" w:lineRule="auto"/>
        <w:ind w:firstLine="560" w:firstLineChars="200"/>
        <w:rPr>
          <w:rFonts w:ascii="仿宋" w:hAnsi="仿宋" w:eastAsia="仿宋"/>
          <w:b/>
          <w:sz w:val="28"/>
          <w:szCs w:val="28"/>
        </w:rPr>
      </w:pPr>
      <w:r>
        <w:rPr>
          <w:rFonts w:hint="eastAsia" w:ascii="仿宋" w:hAnsi="仿宋" w:eastAsia="仿宋"/>
          <w:sz w:val="28"/>
          <w:szCs w:val="28"/>
        </w:rPr>
        <w:t>高校关于课程思政教学体系的建设与研究；高校在系统推进中国特色社会主义和中国梦教育、社会主义核心价值观教育、法治教育、劳动教育、心理健康教育、中华优秀传统文化教育的研究与实践；结合学科专业特点推进思政元素融入课程教学的改革和创新研究；课程思政融入课堂教学全过程的方法途径探索与实践；推进教师思政能力建设的机制研究；课程思政建设质量评价体系和激励机制的探索与研究等。</w:t>
      </w:r>
    </w:p>
    <w:p>
      <w:pPr>
        <w:adjustRightInd w:val="0"/>
        <w:snapToGrid w:val="0"/>
        <w:spacing w:line="360" w:lineRule="auto"/>
        <w:ind w:firstLine="562" w:firstLineChars="200"/>
        <w:rPr>
          <w:rFonts w:ascii="仿宋" w:hAnsi="仿宋" w:eastAsia="仿宋"/>
          <w:b/>
          <w:sz w:val="28"/>
          <w:szCs w:val="28"/>
        </w:rPr>
      </w:pPr>
      <w:r>
        <w:rPr>
          <w:rFonts w:hint="eastAsia" w:ascii="仿宋" w:hAnsi="仿宋" w:eastAsia="仿宋"/>
          <w:b/>
          <w:sz w:val="28"/>
          <w:szCs w:val="28"/>
        </w:rPr>
        <w:t>三、人才培养模式改革与创新研究</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高校关于复合型、创新型、应用型、技能型人才培养体系研究；高校实践教学模式及运行机制创新研究；校企、校院（所）协同育人机制研究及产学研用合作培养人才研究与实践，校企合作产教融合研究如实践教学体系改革、实践教学基地建设、高校教师与行业企业、实务部门专家互聘和联合编写教材、教学案例等；各类拔尖创新型、卓越人才培养模式改革与创新研究；国际视野及国际化人才培养模式的研究与实践；“3+2”本科与高职联合培养模式研究；高校通识教育教学内容与体系建设研究、素质教育研究；基于学生自主学习能力培养和个性化教学的人才培养模式研究与实践等。重点支持各试点学院和试点单位在改革项目上的教学研究。</w:t>
      </w:r>
    </w:p>
    <w:p>
      <w:pPr>
        <w:adjustRightInd w:val="0"/>
        <w:snapToGrid w:val="0"/>
        <w:spacing w:line="360" w:lineRule="auto"/>
        <w:ind w:firstLine="562" w:firstLineChars="200"/>
        <w:rPr>
          <w:rFonts w:ascii="仿宋" w:hAnsi="仿宋" w:eastAsia="仿宋"/>
          <w:b/>
          <w:sz w:val="28"/>
          <w:szCs w:val="28"/>
        </w:rPr>
      </w:pPr>
      <w:r>
        <w:rPr>
          <w:rFonts w:hint="eastAsia" w:ascii="仿宋" w:hAnsi="仿宋" w:eastAsia="仿宋"/>
          <w:b/>
          <w:sz w:val="28"/>
          <w:szCs w:val="28"/>
        </w:rPr>
        <w:t>四、新工科、新文科的理论与实践研究</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新工科、新文科建设背景下教育的改革新理念、学科专业的新结构、人才培养的新模式、教育教学的新质量、分类培养的新体系等；高校关于新经济背景下面向未来产业发展需求，推动现有工、文科的交叉复合、与其他学科的交叉融合的探索与实践研究；面向新经济和区域经济发展需要、面向未来的新兴工、文科专业研究与探索及传统专业更新、迭代和升级研究；多学科交叉复合的新兴工、文科专业建设；多学科交叉融合的工程人才培养模式探索与实践；新工科、新文科建设进展、实施情况和实践案例研究等；新工科、新文科专业认证研究与实践等。</w:t>
      </w:r>
    </w:p>
    <w:p>
      <w:pPr>
        <w:adjustRightInd w:val="0"/>
        <w:snapToGrid w:val="0"/>
        <w:spacing w:line="360" w:lineRule="auto"/>
        <w:ind w:firstLine="562" w:firstLineChars="200"/>
        <w:rPr>
          <w:rFonts w:ascii="仿宋" w:hAnsi="仿宋" w:eastAsia="仿宋"/>
          <w:b/>
          <w:sz w:val="28"/>
          <w:szCs w:val="28"/>
        </w:rPr>
      </w:pPr>
      <w:r>
        <w:rPr>
          <w:rFonts w:hint="eastAsia" w:ascii="仿宋" w:hAnsi="仿宋" w:eastAsia="仿宋"/>
          <w:b/>
          <w:sz w:val="28"/>
          <w:szCs w:val="28"/>
        </w:rPr>
        <w:t>五、专业与课程体系建设和改革</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一流本科专业建设研究，内容主要包括一流专业的建设、各类卓越拔尖创新人才培养计划的实践等；国内外大学本科专业建设特色比较研究；高等学校专业群建设研究、品牌特色专业建设及紧缺专业和新办专业建设研究；适应湖北区域经济社会发展要求的优势、特色专业建设与改革研究；高校专业设置、调整、优化、管理、评估和评价机制的研究与实践，人才培养与产业需求对接的监测预警机制研究；符合湖北、区域、行业发展需要的专业结构优化研究与实践；面向湖北工业、产业集群发展需要的专业建设研究与实践等。</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系列课程、教材建设研究。包括创新课程体系建设研究、素质教育课程体系及相关教材建设与研究、一流本科课程建设与应用的理论研究与实践、区域高校课程联盟运作体系研究与实践、高校双语课程建设及双语教学改革的研究；研究国内外优质课程教学资源共享研究；高校课程的准入、建设、评价与淘汰机制研究；产学合作新课程的开发和新教材建设，立体化教材建设等；“马工程”重点教材的应用与研究等。</w:t>
      </w:r>
    </w:p>
    <w:p>
      <w:pPr>
        <w:adjustRightInd w:val="0"/>
        <w:snapToGrid w:val="0"/>
        <w:spacing w:line="360" w:lineRule="auto"/>
        <w:ind w:firstLine="562" w:firstLineChars="200"/>
        <w:rPr>
          <w:rFonts w:ascii="仿宋" w:hAnsi="仿宋" w:eastAsia="仿宋"/>
          <w:b/>
          <w:sz w:val="28"/>
          <w:szCs w:val="28"/>
        </w:rPr>
      </w:pPr>
      <w:r>
        <w:rPr>
          <w:rFonts w:hint="eastAsia" w:ascii="仿宋" w:hAnsi="仿宋" w:eastAsia="仿宋"/>
          <w:b/>
          <w:sz w:val="28"/>
          <w:szCs w:val="28"/>
        </w:rPr>
        <w:t>六、教师队伍建设与教师教学能力提升</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教学团队建设与优秀教学团队形成机制研究；基层教学组织建设研究；高校教师教学能力、实践能力提升方式与途径研究；高校教师发展中心建设与中青年教师培训研究与实践；完善教授为本科生授课的机制研究与实践；高校教风与学风建设；科学合理的高校教师教学能力评价办法探索与实践；高校教师教学激励机制研究；教学名师培养、名师工作室建设；“双师型”教师队伍建设与管理研究等。</w:t>
      </w:r>
    </w:p>
    <w:p>
      <w:pPr>
        <w:adjustRightInd w:val="0"/>
        <w:snapToGrid w:val="0"/>
        <w:spacing w:line="360" w:lineRule="auto"/>
        <w:ind w:firstLine="562" w:firstLineChars="200"/>
        <w:rPr>
          <w:rFonts w:ascii="仿宋" w:hAnsi="仿宋" w:eastAsia="仿宋"/>
          <w:b/>
          <w:sz w:val="28"/>
          <w:szCs w:val="28"/>
        </w:rPr>
      </w:pPr>
      <w:r>
        <w:rPr>
          <w:rFonts w:hint="eastAsia" w:ascii="仿宋" w:hAnsi="仿宋" w:eastAsia="仿宋"/>
          <w:b/>
          <w:sz w:val="28"/>
          <w:szCs w:val="28"/>
        </w:rPr>
        <w:t>七、教学内容更新与教学方法改革</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基于创新人才培养的教学内容更新研究；高校课堂教学模式创新研究；基于能力培养的高校课堂教学手段与方法改革研究；互联网背景下的通识教育研究；高等学校教学资源库和试题库建设与应用；与职业（行业）标准相衔接的课程与教学内容体系探索；高校课程体系整体优化与教学内容改革的研究与实践；高校案例式、启发式、探究式、讨论式等教学方法的探索与实践；公共基础课教学改革研究；基于移动互联网络环境的学习模式研究等。</w:t>
      </w:r>
    </w:p>
    <w:p>
      <w:pPr>
        <w:adjustRightInd w:val="0"/>
        <w:snapToGrid w:val="0"/>
        <w:spacing w:line="360" w:lineRule="auto"/>
        <w:ind w:firstLine="562" w:firstLineChars="200"/>
        <w:rPr>
          <w:rFonts w:ascii="仿宋" w:hAnsi="仿宋" w:eastAsia="仿宋"/>
          <w:b/>
          <w:sz w:val="28"/>
          <w:szCs w:val="28"/>
        </w:rPr>
      </w:pPr>
      <w:r>
        <w:rPr>
          <w:rFonts w:hint="eastAsia" w:ascii="仿宋" w:hAnsi="仿宋" w:eastAsia="仿宋"/>
          <w:b/>
          <w:sz w:val="28"/>
          <w:szCs w:val="28"/>
        </w:rPr>
        <w:t>八、实践教学改革与大学生创新能力培养</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优化实践过程管理，完善用人单位接收大学生实习的制度保障，改进实践教学体系和运行模式研究与实践；实践课教师队伍建设；实践教育基地建设模式的研究与实践；实验教学示范中心、虚拟仿真实验中心、工程训练中心、实习实训基地的建设、管理与运行机制研究；大学生实践能力培养、毕业实习、毕业设计（论文）等各实践教学环节的建设与管理研究；大学生创新创业教育与就业、创业能力研究；创新创业教育课程体系建设、创新创业实践平台建设、创新创业教育实践、创新创业教育管理改革等；大学生科技创新竞赛活动组织管理模式研究；大学生创新活动基地建设和运行管理机制研究；第二课堂与大学生创新能力培养研究等。</w:t>
      </w:r>
    </w:p>
    <w:p>
      <w:pPr>
        <w:adjustRightInd w:val="0"/>
        <w:snapToGrid w:val="0"/>
        <w:spacing w:line="360" w:lineRule="auto"/>
        <w:ind w:firstLine="562" w:firstLineChars="200"/>
        <w:rPr>
          <w:rFonts w:ascii="仿宋" w:hAnsi="仿宋" w:eastAsia="仿宋"/>
          <w:b/>
          <w:sz w:val="28"/>
          <w:szCs w:val="28"/>
        </w:rPr>
      </w:pPr>
      <w:r>
        <w:rPr>
          <w:rFonts w:hint="eastAsia" w:ascii="仿宋" w:hAnsi="仿宋" w:eastAsia="仿宋"/>
          <w:b/>
          <w:sz w:val="28"/>
          <w:szCs w:val="28"/>
        </w:rPr>
        <w:t>九、本科教育教学制度改革研究与实践</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完善学分制，扩大学生学习自主权、选择权，建立健全本科生学业导师制度，建立完善与学分制改革和弹性学习相适应的管理制度，加强校际学分互认与转化实践等教育教学制度改革研究与实践；围绕辅修课程体系、学分标准和学士学位授予标准等开展辅修专业制度改革与实践，建立健全与主辅修制度相适应的联动机制的研究与实践；双学士学位人才培养试点、第二学士学位教学改革与管理制度研究；跨校联合人才培养、区域教学联合体、省部高校共建及对口支持协作等建设与研究；高校间优质教学资源的建设与共享机制研究。</w:t>
      </w:r>
    </w:p>
    <w:p>
      <w:pPr>
        <w:adjustRightInd w:val="0"/>
        <w:snapToGrid w:val="0"/>
        <w:spacing w:line="360" w:lineRule="auto"/>
        <w:ind w:firstLine="562" w:firstLineChars="200"/>
        <w:rPr>
          <w:rFonts w:ascii="仿宋" w:hAnsi="仿宋" w:eastAsia="仿宋"/>
          <w:b/>
          <w:sz w:val="28"/>
          <w:szCs w:val="28"/>
        </w:rPr>
      </w:pPr>
      <w:r>
        <w:rPr>
          <w:rFonts w:hint="eastAsia" w:ascii="仿宋" w:hAnsi="仿宋" w:eastAsia="仿宋"/>
          <w:b/>
          <w:sz w:val="28"/>
          <w:szCs w:val="28"/>
        </w:rPr>
        <w:t>十、高校教学质量管理及保障、监控机制和体系研究</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科专业类教学质量国家标准实施研究与实践；加强学风建设，提升学业挑战度，强化人才培养方案、教学过程和教学考核等方面的质量要求，引导激励学生刻苦学习，完善学业考评制度等方面的研究与实践；高校严格课堂教学管理与课堂改革方面的研究与实践；专业人才培养评价标准体系构建研究与实践；教学状态和教学质量监测的常态化、信息化研究与实践；高校本科教学工作合格评估和审核评估研究；高校教学质量管理体制、质量监控体系和保障体系的研究；高等学校教学质量标准体系建设；本科人才培养质量评价体系及评价方法研究；高校专业认证、课程评估研究；高校教学督导工作研究等。</w:t>
      </w:r>
    </w:p>
    <w:p>
      <w:pPr>
        <w:adjustRightInd w:val="0"/>
        <w:snapToGrid w:val="0"/>
        <w:spacing w:line="360" w:lineRule="auto"/>
        <w:ind w:firstLine="562" w:firstLineChars="200"/>
        <w:rPr>
          <w:rFonts w:ascii="仿宋" w:hAnsi="仿宋" w:eastAsia="仿宋"/>
          <w:b/>
          <w:sz w:val="28"/>
          <w:szCs w:val="28"/>
        </w:rPr>
      </w:pPr>
      <w:r>
        <w:rPr>
          <w:rFonts w:hint="eastAsia" w:ascii="仿宋" w:hAnsi="仿宋" w:eastAsia="仿宋"/>
          <w:b/>
          <w:sz w:val="28"/>
          <w:szCs w:val="28"/>
        </w:rPr>
        <w:t>十一、</w:t>
      </w:r>
      <w:r>
        <w:rPr>
          <w:rFonts w:hint="eastAsia" w:ascii="仿宋" w:hAnsi="仿宋" w:eastAsia="仿宋"/>
          <w:b/>
          <w:sz w:val="28"/>
          <w:szCs w:val="28"/>
          <w:lang w:val="en-US" w:eastAsia="zh-CN"/>
        </w:rPr>
        <w:t>智慧教育与高等教育教学数字化体系</w:t>
      </w:r>
    </w:p>
    <w:p>
      <w:pPr>
        <w:adjustRightInd w:val="0"/>
        <w:snapToGrid w:val="0"/>
        <w:spacing w:line="360" w:lineRule="auto"/>
        <w:ind w:firstLine="560" w:firstLineChars="200"/>
        <w:rPr>
          <w:rFonts w:hint="default" w:ascii="仿宋" w:hAnsi="仿宋" w:eastAsia="仿宋"/>
          <w:sz w:val="28"/>
          <w:szCs w:val="28"/>
          <w:lang w:val="en-US"/>
        </w:rPr>
      </w:pPr>
      <w:r>
        <w:rPr>
          <w:rFonts w:hint="eastAsia" w:ascii="仿宋" w:hAnsi="仿宋" w:eastAsia="仿宋"/>
          <w:sz w:val="28"/>
          <w:szCs w:val="28"/>
          <w:lang w:val="en-US" w:eastAsia="zh-CN"/>
        </w:rPr>
        <w:t>高等教育教学数字化体系研究；信息技术与教育教学的深度融合如微课、在线开放课程建设、翻转翻转课堂等方面研究；虚拟仿真教学实验、课程思政数字化资源库、教学案例、人才培养教学资源库等教学资源平台建设与管理；虚拟教研室信息平台建设；学习过程大数据分析、打造智慧学习社区等研究；教学管理数字化、信息化建设研究与实践；现代信息网络技术在教学中的运用、现代远程高等教育教学体系的构建及管理研究。</w:t>
      </w:r>
    </w:p>
    <w:p>
      <w:pPr>
        <w:adjustRightInd w:val="0"/>
        <w:snapToGrid w:val="0"/>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十</w:t>
      </w:r>
      <w:r>
        <w:rPr>
          <w:rFonts w:hint="eastAsia" w:ascii="仿宋" w:hAnsi="仿宋" w:eastAsia="仿宋"/>
          <w:b/>
          <w:bCs/>
          <w:sz w:val="28"/>
          <w:szCs w:val="28"/>
          <w:lang w:val="en-US" w:eastAsia="zh-CN"/>
        </w:rPr>
        <w:t>二</w:t>
      </w:r>
      <w:r>
        <w:rPr>
          <w:rFonts w:hint="eastAsia" w:ascii="仿宋" w:hAnsi="仿宋" w:eastAsia="仿宋"/>
          <w:b/>
          <w:bCs/>
          <w:sz w:val="28"/>
          <w:szCs w:val="28"/>
        </w:rPr>
        <w:t>、民办高校办学机制、教学管理模式研究</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民办高等学校的体制和运行机制的研究与实践、教师队伍建设研究与实践、办学模式的研究与实践等。</w:t>
      </w:r>
    </w:p>
    <w:p>
      <w:pPr>
        <w:adjustRightInd w:val="0"/>
        <w:snapToGrid w:val="0"/>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十</w:t>
      </w:r>
      <w:r>
        <w:rPr>
          <w:rFonts w:hint="eastAsia" w:ascii="仿宋" w:hAnsi="仿宋" w:eastAsia="仿宋"/>
          <w:b/>
          <w:bCs/>
          <w:sz w:val="28"/>
          <w:szCs w:val="28"/>
          <w:lang w:val="en-US" w:eastAsia="zh-CN"/>
        </w:rPr>
        <w:t>三</w:t>
      </w:r>
      <w:r>
        <w:rPr>
          <w:rFonts w:hint="eastAsia" w:ascii="仿宋" w:hAnsi="仿宋" w:eastAsia="仿宋"/>
          <w:b/>
          <w:bCs/>
          <w:sz w:val="28"/>
          <w:szCs w:val="28"/>
        </w:rPr>
        <w:t>、其他</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成人高等教育、网络远程教育、自学考试等学历继续教育人才培养目标定位、培养模式、质量保障体制机制研究。</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高等教育国际合作办学机制和培养模式的理论与实践研究。</w:t>
      </w:r>
    </w:p>
    <w:p>
      <w:pPr>
        <w:adjustRightInd w:val="0"/>
        <w:snapToGrid w:val="0"/>
        <w:spacing w:line="360" w:lineRule="auto"/>
        <w:ind w:firstLine="560" w:firstLineChars="200"/>
        <w:rPr>
          <w:rFonts w:hint="eastAsia" w:ascii="仿宋" w:hAnsi="仿宋" w:eastAsia="仿宋"/>
          <w:sz w:val="28"/>
          <w:szCs w:val="28"/>
        </w:rPr>
      </w:pPr>
    </w:p>
    <w:p>
      <w:pPr>
        <w:adjustRightInd w:val="0"/>
        <w:snapToGrid w:val="0"/>
        <w:spacing w:line="360" w:lineRule="auto"/>
        <w:ind w:firstLine="560" w:firstLineChars="200"/>
        <w:rPr>
          <w:rFonts w:ascii="仿宋" w:hAnsi="仿宋" w:eastAsia="仿宋"/>
          <w:sz w:val="28"/>
          <w:szCs w:val="28"/>
        </w:rPr>
      </w:pPr>
    </w:p>
    <w:p>
      <w:pPr>
        <w:adjustRightInd w:val="0"/>
        <w:snapToGrid w:val="0"/>
        <w:spacing w:line="360" w:lineRule="auto"/>
        <w:ind w:firstLine="560" w:firstLineChars="200"/>
        <w:rPr>
          <w:rFonts w:ascii="仿宋" w:hAnsi="仿宋" w:eastAsia="仿宋"/>
          <w:sz w:val="28"/>
          <w:szCs w:val="28"/>
        </w:rPr>
      </w:pPr>
    </w:p>
    <w:p>
      <w:pPr>
        <w:adjustRightInd w:val="0"/>
        <w:snapToGrid w:val="0"/>
        <w:spacing w:line="360" w:lineRule="auto"/>
        <w:ind w:firstLine="560" w:firstLineChars="200"/>
        <w:rPr>
          <w:rFonts w:ascii="仿宋" w:hAnsi="仿宋" w:eastAsia="仿宋"/>
          <w:sz w:val="28"/>
          <w:szCs w:val="28"/>
        </w:rPr>
      </w:pPr>
    </w:p>
    <w:p>
      <w:pPr>
        <w:spacing w:line="560" w:lineRule="exact"/>
        <w:ind w:firstLine="420" w:firstLineChars="200"/>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MGE5Yzg2NWUyNjBlNTM0MmI4ZmUzZjI3NjkxNmYifQ=="/>
  </w:docVars>
  <w:rsids>
    <w:rsidRoot w:val="00555CA2"/>
    <w:rsid w:val="0000025F"/>
    <w:rsid w:val="00024135"/>
    <w:rsid w:val="00040D30"/>
    <w:rsid w:val="000901D8"/>
    <w:rsid w:val="002B11EB"/>
    <w:rsid w:val="002D7584"/>
    <w:rsid w:val="003969E5"/>
    <w:rsid w:val="003B7F7C"/>
    <w:rsid w:val="003C4B14"/>
    <w:rsid w:val="004730E3"/>
    <w:rsid w:val="004C2CB1"/>
    <w:rsid w:val="00555CA2"/>
    <w:rsid w:val="005A3EBC"/>
    <w:rsid w:val="005C1B19"/>
    <w:rsid w:val="006A1395"/>
    <w:rsid w:val="00704421"/>
    <w:rsid w:val="00755A7C"/>
    <w:rsid w:val="007855AF"/>
    <w:rsid w:val="00850146"/>
    <w:rsid w:val="009478C4"/>
    <w:rsid w:val="009A53E6"/>
    <w:rsid w:val="009D1539"/>
    <w:rsid w:val="00A03557"/>
    <w:rsid w:val="00A05D30"/>
    <w:rsid w:val="00A341AE"/>
    <w:rsid w:val="00A9523C"/>
    <w:rsid w:val="00AE2D7A"/>
    <w:rsid w:val="00C037D1"/>
    <w:rsid w:val="00C3231B"/>
    <w:rsid w:val="00C769E7"/>
    <w:rsid w:val="00C82FA5"/>
    <w:rsid w:val="00CB5944"/>
    <w:rsid w:val="00D40573"/>
    <w:rsid w:val="00D609A4"/>
    <w:rsid w:val="00DF03D1"/>
    <w:rsid w:val="00E83AEC"/>
    <w:rsid w:val="00EA462F"/>
    <w:rsid w:val="00EF6D9D"/>
    <w:rsid w:val="00F312DC"/>
    <w:rsid w:val="00F603FE"/>
    <w:rsid w:val="00F768FC"/>
    <w:rsid w:val="00F96944"/>
    <w:rsid w:val="00FD65EC"/>
    <w:rsid w:val="07AC699C"/>
    <w:rsid w:val="180A4B7C"/>
    <w:rsid w:val="31245A35"/>
    <w:rsid w:val="3E9F7300"/>
    <w:rsid w:val="4FA725A9"/>
    <w:rsid w:val="5DF06A7A"/>
    <w:rsid w:val="6105053C"/>
    <w:rsid w:val="693723F3"/>
    <w:rsid w:val="6E495BC0"/>
    <w:rsid w:val="74C52AB3"/>
    <w:rsid w:val="74EE6E74"/>
    <w:rsid w:val="7AA32E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6</Pages>
  <Words>3154</Words>
  <Characters>3159</Characters>
  <Lines>21</Lines>
  <Paragraphs>5</Paragraphs>
  <TotalTime>12</TotalTime>
  <ScaleCrop>false</ScaleCrop>
  <LinksUpToDate>false</LinksUpToDate>
  <CharactersWithSpaces>3161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2020-07-25T06:32:00Z</dcterms:created>
  <dc:creator>Sky123.Org</dc:creator>
  <cp:lastModifiedBy>姚伶俐</cp:lastModifiedBy>
  <cp:lastPrinted>2022-10-07T07:33:00Z</cp:lastPrinted>
  <dcterms:modified xsi:type="dcterms:W3CDTF">2022-10-10T02:55:47Z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0F8BCBC5C5B2441D9C4050331291E150</vt:lpwstr>
  </property>
</Properties>
</file>